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071EAC88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1D75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3B910B2B" w:rsidR="00067805" w:rsidRPr="00E05B2C" w:rsidRDefault="001D75A4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66633FB" wp14:editId="59E50956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1949675B" w:rsidR="00067805" w:rsidRPr="00E05B2C" w:rsidRDefault="001D75A4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78F2E4CC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1D75A4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="001D75A4">
              <w:rPr>
                <w:rFonts w:asciiTheme="majorHAnsi" w:hAnsiTheme="majorHAnsi" w:cstheme="majorHAnsi"/>
                <w:sz w:val="20"/>
              </w:rPr>
              <w:t>RHE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(lower-division)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125B18A7" w:rsidR="00987AE7" w:rsidRPr="00E05B2C" w:rsidRDefault="001D75A4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5BF00E27" w:rsidR="003F2AA7" w:rsidRPr="00E05B2C" w:rsidRDefault="001D75A4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35BDD4A" wp14:editId="164521AC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5A224133" w:rsidR="003F2AA7" w:rsidRPr="00E05B2C" w:rsidRDefault="001D75A4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3B801F4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1D75A4">
              <w:rPr>
                <w:rFonts w:asciiTheme="majorHAnsi" w:hAnsiTheme="majorHAnsi" w:cstheme="majorHAnsi"/>
                <w:bCs/>
                <w:sz w:val="20"/>
              </w:rPr>
              <w:t>RHE 321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096C3CCF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1D75A4">
              <w:rPr>
                <w:rFonts w:asciiTheme="majorHAnsi" w:hAnsiTheme="majorHAnsi" w:cstheme="majorHAnsi"/>
                <w:bCs/>
                <w:sz w:val="20"/>
              </w:rPr>
              <w:t>RHE 330C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6D152516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1D75A4">
              <w:rPr>
                <w:rFonts w:asciiTheme="majorHAnsi" w:hAnsiTheme="majorHAnsi" w:cstheme="majorHAnsi"/>
                <w:bCs/>
                <w:sz w:val="20"/>
              </w:rPr>
              <w:t xml:space="preserve">RHE (any upper-division) 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487E86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7335EDF0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1D75A4">
              <w:rPr>
                <w:rFonts w:asciiTheme="majorHAnsi" w:hAnsiTheme="majorHAnsi" w:cstheme="majorHAnsi"/>
                <w:bCs/>
                <w:sz w:val="20"/>
              </w:rPr>
              <w:t>RHE 330D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C5B0766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1D75A4">
              <w:rPr>
                <w:rFonts w:asciiTheme="majorHAnsi" w:hAnsiTheme="majorHAnsi" w:cstheme="majorHAnsi"/>
                <w:sz w:val="20"/>
              </w:rPr>
              <w:t>RHE 330E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38C785A6" w:rsidR="00B97EF4" w:rsidRPr="00E05B2C" w:rsidRDefault="001D75A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RHE (any upper-division)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0805005A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D75A4">
              <w:rPr>
                <w:rFonts w:asciiTheme="majorHAnsi" w:hAnsiTheme="majorHAnsi" w:cstheme="majorHAnsi"/>
                <w:sz w:val="20"/>
              </w:rPr>
              <w:t>RHE 310, 325M, 328, 368C, or 368E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1D75A4" w:rsidRPr="007821C0" w14:paraId="4EC41C2C" w14:textId="77777777" w:rsidTr="2332A9A1">
        <w:tc>
          <w:tcPr>
            <w:tcW w:w="3775" w:type="dxa"/>
          </w:tcPr>
          <w:p w14:paraId="2508AD89" w14:textId="2A682888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8F62E3F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2B4D8861" w:rsidR="001D75A4" w:rsidRPr="00E05B2C" w:rsidRDefault="001D75A4" w:rsidP="001D75A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2B6F7D66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1D75A4" w:rsidRPr="007821C0" w:rsidRDefault="001D75A4" w:rsidP="001D75A4">
            <w:pPr>
              <w:rPr>
                <w:rFonts w:ascii="inherit" w:hAnsi="inherit"/>
                <w:sz w:val="20"/>
              </w:rPr>
            </w:pPr>
          </w:p>
        </w:tc>
      </w:tr>
      <w:tr w:rsidR="001D75A4" w:rsidRPr="007821C0" w14:paraId="3097909F" w14:textId="77777777" w:rsidTr="2332A9A1">
        <w:tc>
          <w:tcPr>
            <w:tcW w:w="3775" w:type="dxa"/>
          </w:tcPr>
          <w:p w14:paraId="5479A803" w14:textId="6C00F32A" w:rsidR="001D75A4" w:rsidRPr="00E05B2C" w:rsidRDefault="001D75A4" w:rsidP="001D75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5A2F67BC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369876FF" w:rsidR="001D75A4" w:rsidRPr="00E05B2C" w:rsidRDefault="001D75A4" w:rsidP="001D75A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1D75A4" w:rsidRPr="007821C0" w:rsidRDefault="001D75A4" w:rsidP="001D75A4">
            <w:pPr>
              <w:rPr>
                <w:rFonts w:ascii="inherit" w:hAnsi="inherit"/>
                <w:sz w:val="20"/>
              </w:rPr>
            </w:pPr>
          </w:p>
        </w:tc>
      </w:tr>
      <w:tr w:rsidR="001D75A4" w:rsidRPr="007821C0" w14:paraId="571FD4CF" w14:textId="77777777" w:rsidTr="2332A9A1">
        <w:tc>
          <w:tcPr>
            <w:tcW w:w="3775" w:type="dxa"/>
          </w:tcPr>
          <w:p w14:paraId="4193F702" w14:textId="3D3D22B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37F61497" w:rsidR="001D75A4" w:rsidRPr="00E05B2C" w:rsidRDefault="001D75A4" w:rsidP="001D75A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1D75A4" w:rsidRPr="007821C0" w:rsidRDefault="001D75A4" w:rsidP="001D75A4">
            <w:pPr>
              <w:rPr>
                <w:rFonts w:ascii="inherit" w:hAnsi="inherit"/>
                <w:sz w:val="20"/>
              </w:rPr>
            </w:pPr>
          </w:p>
        </w:tc>
      </w:tr>
      <w:tr w:rsidR="001D75A4" w:rsidRPr="007821C0" w14:paraId="7AC7146D" w14:textId="77777777" w:rsidTr="2332A9A1">
        <w:tc>
          <w:tcPr>
            <w:tcW w:w="3775" w:type="dxa"/>
          </w:tcPr>
          <w:p w14:paraId="7B33DEB0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1D75A4" w:rsidRPr="007821C0" w:rsidRDefault="001D75A4" w:rsidP="001D75A4">
            <w:pPr>
              <w:rPr>
                <w:rFonts w:ascii="inherit" w:hAnsi="inherit"/>
                <w:sz w:val="20"/>
              </w:rPr>
            </w:pPr>
          </w:p>
        </w:tc>
      </w:tr>
      <w:tr w:rsidR="001D75A4" w:rsidRPr="007821C0" w14:paraId="65F18C6C" w14:textId="77777777" w:rsidTr="2332A9A1">
        <w:tc>
          <w:tcPr>
            <w:tcW w:w="3775" w:type="dxa"/>
          </w:tcPr>
          <w:p w14:paraId="42679F32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1D75A4" w:rsidRPr="00E05B2C" w:rsidRDefault="001D75A4" w:rsidP="001D75A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1D75A4" w:rsidRPr="007821C0" w:rsidRDefault="001D75A4" w:rsidP="001D75A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3BD824EE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27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1D75A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RHE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3BD824EE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27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1D75A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RHE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EA39" w14:textId="77777777" w:rsidR="00EA714E" w:rsidRDefault="00EA714E" w:rsidP="00464807">
      <w:pPr>
        <w:spacing w:after="0" w:line="240" w:lineRule="auto"/>
      </w:pPr>
      <w:r>
        <w:separator/>
      </w:r>
    </w:p>
  </w:endnote>
  <w:endnote w:type="continuationSeparator" w:id="0">
    <w:p w14:paraId="107B3A05" w14:textId="77777777" w:rsidR="00EA714E" w:rsidRDefault="00EA714E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A5FD" w14:textId="77777777" w:rsidR="001D75A4" w:rsidRDefault="001D7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B4F5" w14:textId="77777777" w:rsidR="001D75A4" w:rsidRDefault="001D7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5C13" w14:textId="77777777" w:rsidR="001D75A4" w:rsidRDefault="001D7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7F73" w14:textId="77777777" w:rsidR="00EA714E" w:rsidRDefault="00EA714E" w:rsidP="00464807">
      <w:pPr>
        <w:spacing w:after="0" w:line="240" w:lineRule="auto"/>
      </w:pPr>
      <w:r>
        <w:separator/>
      </w:r>
    </w:p>
  </w:footnote>
  <w:footnote w:type="continuationSeparator" w:id="0">
    <w:p w14:paraId="6364120B" w14:textId="77777777" w:rsidR="00EA714E" w:rsidRDefault="00EA714E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E264" w14:textId="77777777" w:rsidR="001D75A4" w:rsidRDefault="001D7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6BA236B7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Rhetoric</w:t>
    </w:r>
    <w:bookmarkStart w:id="0" w:name="_GoBack"/>
    <w:bookmarkEnd w:id="0"/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and Writing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6D7E" w14:textId="77777777" w:rsidR="001D75A4" w:rsidRDefault="001D7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50.png"/><Relationship Id="rId39" Type="http://schemas.openxmlformats.org/officeDocument/2006/relationships/image" Target="media/image170.png"/><Relationship Id="rId21" Type="http://schemas.openxmlformats.org/officeDocument/2006/relationships/image" Target="media/image90.png"/><Relationship Id="rId34" Type="http://schemas.openxmlformats.org/officeDocument/2006/relationships/image" Target="media/image17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0.png"/><Relationship Id="rId32" Type="http://schemas.openxmlformats.org/officeDocument/2006/relationships/image" Target="media/image15.jp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png"/><Relationship Id="rId28" Type="http://schemas.openxmlformats.org/officeDocument/2006/relationships/image" Target="media/image12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31" Type="http://schemas.openxmlformats.org/officeDocument/2006/relationships/image" Target="media/image14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20.png"/><Relationship Id="rId30" Type="http://schemas.openxmlformats.org/officeDocument/2006/relationships/image" Target="media/image13.png"/><Relationship Id="rId35" Type="http://schemas.openxmlformats.org/officeDocument/2006/relationships/image" Target="media/image13.jp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00.png"/><Relationship Id="rId33" Type="http://schemas.openxmlformats.org/officeDocument/2006/relationships/image" Target="media/image16.png"/><Relationship Id="rId38" Type="http://schemas.openxmlformats.org/officeDocument/2006/relationships/image" Target="media/image16.jpg"/><Relationship Id="rId46" Type="http://schemas.openxmlformats.org/officeDocument/2006/relationships/footer" Target="footer3.xml"/><Relationship Id="rId20" Type="http://schemas.openxmlformats.org/officeDocument/2006/relationships/image" Target="media/image30.png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8A9A-6BB1-864C-A70D-37EFD0DD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2020-01-07T19:56:00Z</dcterms:created>
  <dcterms:modified xsi:type="dcterms:W3CDTF">2020-01-07T19:56:00Z</dcterms:modified>
</cp:coreProperties>
</file>